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567"/>
        <w:gridCol w:w="4568"/>
      </w:tblGrid>
      <w:tr w:rsidR="00884989" w:rsidRPr="00DA3862" w:rsidTr="007F3DF3">
        <w:trPr>
          <w:trHeight w:val="547"/>
        </w:trPr>
        <w:tc>
          <w:tcPr>
            <w:tcW w:w="9135" w:type="dxa"/>
            <w:gridSpan w:val="2"/>
            <w:tcBorders>
              <w:bottom w:val="single" w:sz="12" w:space="0" w:color="9CC2E5"/>
            </w:tcBorders>
            <w:shd w:val="clear" w:color="auto" w:fill="auto"/>
          </w:tcPr>
          <w:p w:rsidR="00884989" w:rsidRPr="00F97FFA" w:rsidRDefault="00884989" w:rsidP="007F3DF3">
            <w:pPr>
              <w:jc w:val="center"/>
              <w:rPr>
                <w:rFonts w:ascii="Arial" w:hAnsi="Arial" w:cs="Arial"/>
                <w:b/>
                <w:bCs/>
                <w:sz w:val="20"/>
                <w:szCs w:val="20"/>
                <w:lang w:val="en-US"/>
              </w:rPr>
            </w:pPr>
            <w:r w:rsidRPr="00F97FFA">
              <w:rPr>
                <w:rFonts w:ascii="Arial" w:hAnsi="Arial" w:cs="Arial"/>
                <w:b/>
                <w:bCs/>
                <w:sz w:val="20"/>
                <w:szCs w:val="20"/>
                <w:lang w:val="en-US"/>
              </w:rPr>
              <w:t xml:space="preserve">Corporate disputes </w:t>
            </w:r>
            <w:r w:rsidRPr="0068793E">
              <w:rPr>
                <w:rFonts w:ascii="Arial" w:hAnsi="Arial" w:cs="Arial"/>
                <w:bCs/>
                <w:sz w:val="20"/>
                <w:szCs w:val="20"/>
                <w:lang w:val="en-US"/>
              </w:rPr>
              <w:t>(non-exhaustive list)</w:t>
            </w:r>
          </w:p>
        </w:tc>
      </w:tr>
      <w:tr w:rsidR="00884989" w:rsidRPr="00F97FFA" w:rsidTr="007F3DF3">
        <w:tc>
          <w:tcPr>
            <w:tcW w:w="4567" w:type="dxa"/>
            <w:shd w:val="clear" w:color="auto" w:fill="auto"/>
          </w:tcPr>
          <w:p w:rsidR="00884989" w:rsidRPr="0068793E" w:rsidRDefault="00884989" w:rsidP="007F3DF3">
            <w:pPr>
              <w:jc w:val="both"/>
              <w:rPr>
                <w:rFonts w:ascii="Arial" w:hAnsi="Arial" w:cs="Arial"/>
                <w:bCs/>
                <w:sz w:val="20"/>
                <w:szCs w:val="20"/>
                <w:lang w:val="en-US"/>
              </w:rPr>
            </w:pPr>
            <w:r w:rsidRPr="0068793E">
              <w:rPr>
                <w:rFonts w:ascii="Arial" w:hAnsi="Arial" w:cs="Arial"/>
                <w:bCs/>
                <w:sz w:val="20"/>
                <w:szCs w:val="20"/>
                <w:lang w:val="en-US"/>
              </w:rPr>
              <w:t>Arbitrable</w:t>
            </w:r>
          </w:p>
        </w:tc>
        <w:tc>
          <w:tcPr>
            <w:tcW w:w="4568" w:type="dxa"/>
            <w:shd w:val="clear" w:color="auto" w:fill="auto"/>
          </w:tcPr>
          <w:p w:rsidR="00884989" w:rsidRPr="00F97FFA" w:rsidRDefault="00884989" w:rsidP="007F3DF3">
            <w:pPr>
              <w:jc w:val="both"/>
              <w:rPr>
                <w:rFonts w:ascii="Arial" w:hAnsi="Arial" w:cs="Arial"/>
                <w:sz w:val="20"/>
                <w:szCs w:val="20"/>
                <w:lang w:val="en-US"/>
              </w:rPr>
            </w:pPr>
            <w:r w:rsidRPr="00F97FFA">
              <w:rPr>
                <w:rFonts w:ascii="Arial" w:hAnsi="Arial" w:cs="Arial"/>
                <w:sz w:val="20"/>
                <w:szCs w:val="20"/>
                <w:lang w:val="en-US"/>
              </w:rPr>
              <w:t>Non-arbitrable</w:t>
            </w:r>
          </w:p>
        </w:tc>
      </w:tr>
      <w:tr w:rsidR="00884989" w:rsidRPr="00DA3862" w:rsidTr="007F3DF3">
        <w:tc>
          <w:tcPr>
            <w:tcW w:w="4567" w:type="dxa"/>
            <w:shd w:val="clear" w:color="auto" w:fill="auto"/>
          </w:tcPr>
          <w:p w:rsidR="00884989" w:rsidRPr="0068793E" w:rsidRDefault="00884989" w:rsidP="007F3DF3">
            <w:pPr>
              <w:numPr>
                <w:ilvl w:val="0"/>
                <w:numId w:val="1"/>
              </w:numPr>
              <w:ind w:left="426"/>
              <w:jc w:val="both"/>
              <w:rPr>
                <w:rFonts w:ascii="Arial" w:hAnsi="Arial" w:cs="Arial"/>
                <w:bCs/>
                <w:sz w:val="20"/>
                <w:szCs w:val="20"/>
                <w:lang w:val="en-US"/>
              </w:rPr>
            </w:pPr>
            <w:r w:rsidRPr="0068793E">
              <w:rPr>
                <w:rFonts w:ascii="Arial" w:hAnsi="Arial" w:cs="Arial"/>
                <w:bCs/>
                <w:sz w:val="20"/>
                <w:szCs w:val="20"/>
                <w:lang w:val="en-US"/>
              </w:rPr>
              <w:t>Disputes concerning establishment, reorganization and liquidation of a legal entity;</w:t>
            </w:r>
          </w:p>
          <w:p w:rsidR="00884989" w:rsidRPr="0068793E" w:rsidRDefault="00884989" w:rsidP="007F3DF3">
            <w:pPr>
              <w:numPr>
                <w:ilvl w:val="0"/>
                <w:numId w:val="1"/>
              </w:numPr>
              <w:ind w:left="426"/>
              <w:jc w:val="both"/>
              <w:rPr>
                <w:rFonts w:ascii="Arial" w:hAnsi="Arial" w:cs="Arial"/>
                <w:bCs/>
                <w:sz w:val="20"/>
                <w:szCs w:val="20"/>
                <w:lang w:val="en-US"/>
              </w:rPr>
            </w:pPr>
            <w:r w:rsidRPr="0068793E">
              <w:rPr>
                <w:rFonts w:ascii="Arial" w:hAnsi="Arial" w:cs="Arial"/>
                <w:bCs/>
                <w:sz w:val="20"/>
                <w:szCs w:val="20"/>
                <w:lang w:val="en-US"/>
              </w:rPr>
              <w:t>Disputes concerning ownership of stocks, shares in charter capital (contributed capital) of commercial companies and partnerships, establishment of encumbrances thereof and exercise of rights, arising from them, including disputes from SPAs;</w:t>
            </w:r>
            <w:r w:rsidR="005B6EFC">
              <w:rPr>
                <w:rStyle w:val="a5"/>
                <w:rFonts w:ascii="Arial" w:hAnsi="Arial" w:cs="Arial"/>
                <w:sz w:val="22"/>
                <w:szCs w:val="22"/>
                <w:lang w:val="en-US"/>
              </w:rPr>
              <w:footnoteReference w:id="1"/>
            </w:r>
          </w:p>
          <w:p w:rsidR="00884989" w:rsidRPr="0068793E" w:rsidRDefault="00884989" w:rsidP="007F3DF3">
            <w:pPr>
              <w:numPr>
                <w:ilvl w:val="0"/>
                <w:numId w:val="1"/>
              </w:numPr>
              <w:ind w:left="426"/>
              <w:jc w:val="both"/>
              <w:rPr>
                <w:rFonts w:ascii="Arial" w:hAnsi="Arial" w:cs="Arial"/>
                <w:bCs/>
                <w:sz w:val="20"/>
                <w:szCs w:val="20"/>
                <w:lang w:val="en-US"/>
              </w:rPr>
            </w:pPr>
            <w:r w:rsidRPr="0068793E">
              <w:rPr>
                <w:rFonts w:ascii="Arial" w:hAnsi="Arial" w:cs="Arial"/>
                <w:bCs/>
                <w:sz w:val="20"/>
                <w:szCs w:val="20"/>
                <w:lang w:val="en-US"/>
              </w:rPr>
              <w:t>Disputes regarding claims, raised by founders, participants and members of a legal entity (hereinafter - participants of a legal entity) for the reimbursement of damages, caused to a legal entity, invalidation of transactions of a legal entity;</w:t>
            </w:r>
          </w:p>
          <w:p w:rsidR="00884989" w:rsidRPr="0068793E" w:rsidRDefault="00884989" w:rsidP="007F3DF3">
            <w:pPr>
              <w:numPr>
                <w:ilvl w:val="0"/>
                <w:numId w:val="1"/>
              </w:numPr>
              <w:ind w:left="426"/>
              <w:jc w:val="both"/>
              <w:rPr>
                <w:rFonts w:ascii="Arial" w:hAnsi="Arial" w:cs="Arial"/>
                <w:bCs/>
                <w:sz w:val="20"/>
                <w:szCs w:val="20"/>
                <w:lang w:val="en-US"/>
              </w:rPr>
            </w:pPr>
            <w:r w:rsidRPr="0068793E">
              <w:rPr>
                <w:rFonts w:ascii="Arial" w:hAnsi="Arial" w:cs="Arial"/>
                <w:bCs/>
                <w:sz w:val="20"/>
                <w:szCs w:val="20"/>
                <w:lang w:val="en-US"/>
              </w:rPr>
              <w:t>Disputes concerning the appointment or election, termination or suspension of powers and the liability of persons, who are or were members of management bodies of a legal entity, as well as disputes, arising from civil relations between the said persons and the legal entity in connection with the exercise, termination or suspension of the said persons’ powers; disputes from corporate agreements;</w:t>
            </w:r>
          </w:p>
          <w:p w:rsidR="00884989" w:rsidRPr="0068793E" w:rsidRDefault="00E62F2E" w:rsidP="007F3DF3">
            <w:pPr>
              <w:numPr>
                <w:ilvl w:val="0"/>
                <w:numId w:val="1"/>
              </w:numPr>
              <w:ind w:left="426"/>
              <w:jc w:val="both"/>
              <w:rPr>
                <w:rFonts w:ascii="Arial" w:hAnsi="Arial" w:cs="Arial"/>
                <w:bCs/>
                <w:sz w:val="20"/>
                <w:szCs w:val="20"/>
                <w:lang w:val="en-US"/>
              </w:rPr>
            </w:pPr>
            <w:r>
              <w:rPr>
                <w:rFonts w:ascii="Arial" w:hAnsi="Arial" w:cs="Arial"/>
                <w:bCs/>
                <w:sz w:val="20"/>
                <w:szCs w:val="20"/>
                <w:lang w:val="en-US"/>
              </w:rPr>
              <w:t>Challenging</w:t>
            </w:r>
            <w:r w:rsidR="00884989" w:rsidRPr="0068793E">
              <w:rPr>
                <w:rFonts w:ascii="Arial" w:hAnsi="Arial" w:cs="Arial"/>
                <w:bCs/>
                <w:sz w:val="20"/>
                <w:szCs w:val="20"/>
                <w:lang w:val="en-US"/>
              </w:rPr>
              <w:t xml:space="preserve"> decisions of a legal entity’s management bodies.</w:t>
            </w:r>
            <w:bookmarkStart w:id="0" w:name="_GoBack"/>
            <w:bookmarkEnd w:id="0"/>
          </w:p>
          <w:p w:rsidR="00884989" w:rsidRPr="0068793E" w:rsidRDefault="00884989" w:rsidP="007F3DF3">
            <w:pPr>
              <w:jc w:val="both"/>
              <w:rPr>
                <w:rFonts w:ascii="Arial" w:hAnsi="Arial" w:cs="Arial"/>
                <w:bCs/>
                <w:sz w:val="20"/>
                <w:szCs w:val="20"/>
                <w:lang w:val="en-US"/>
              </w:rPr>
            </w:pPr>
          </w:p>
        </w:tc>
        <w:tc>
          <w:tcPr>
            <w:tcW w:w="4568" w:type="dxa"/>
            <w:shd w:val="clear" w:color="auto" w:fill="auto"/>
          </w:tcPr>
          <w:p w:rsidR="00884989" w:rsidRPr="00F97FFA" w:rsidRDefault="00884989" w:rsidP="007F3DF3">
            <w:pPr>
              <w:numPr>
                <w:ilvl w:val="0"/>
                <w:numId w:val="2"/>
              </w:numPr>
              <w:ind w:left="403"/>
              <w:jc w:val="both"/>
              <w:rPr>
                <w:rFonts w:ascii="Arial" w:hAnsi="Arial" w:cs="Arial"/>
                <w:sz w:val="20"/>
                <w:szCs w:val="20"/>
                <w:lang w:val="en-US"/>
              </w:rPr>
            </w:pPr>
            <w:r w:rsidRPr="00F97FFA">
              <w:rPr>
                <w:rFonts w:ascii="Arial" w:hAnsi="Arial" w:cs="Arial"/>
                <w:sz w:val="20"/>
                <w:szCs w:val="20"/>
                <w:lang w:val="en-US"/>
              </w:rPr>
              <w:t>Disputes concerning calling of a general meeting of a legal entity’s participants;</w:t>
            </w:r>
          </w:p>
          <w:p w:rsidR="00884989" w:rsidRPr="00F97FFA" w:rsidRDefault="00884989" w:rsidP="007F3DF3">
            <w:pPr>
              <w:numPr>
                <w:ilvl w:val="0"/>
                <w:numId w:val="2"/>
              </w:numPr>
              <w:ind w:left="403"/>
              <w:jc w:val="both"/>
              <w:rPr>
                <w:rFonts w:ascii="Arial" w:hAnsi="Arial" w:cs="Arial"/>
                <w:sz w:val="20"/>
                <w:szCs w:val="20"/>
                <w:lang w:val="en-US"/>
              </w:rPr>
            </w:pPr>
            <w:r w:rsidRPr="00F97FFA">
              <w:rPr>
                <w:rFonts w:ascii="Arial" w:hAnsi="Arial" w:cs="Arial"/>
                <w:sz w:val="20"/>
                <w:szCs w:val="20"/>
                <w:lang w:val="en-US"/>
              </w:rPr>
              <w:t>Disputes arising from the activities of notaries regarding certification of transactions with shares in limited liability companies;</w:t>
            </w:r>
          </w:p>
          <w:p w:rsidR="00884989" w:rsidRPr="00F97FFA" w:rsidRDefault="00884989" w:rsidP="007F3DF3">
            <w:pPr>
              <w:numPr>
                <w:ilvl w:val="0"/>
                <w:numId w:val="2"/>
              </w:numPr>
              <w:ind w:left="403"/>
              <w:jc w:val="both"/>
              <w:rPr>
                <w:rFonts w:ascii="Arial" w:hAnsi="Arial" w:cs="Arial"/>
                <w:sz w:val="20"/>
                <w:szCs w:val="20"/>
                <w:lang w:val="en-US"/>
              </w:rPr>
            </w:pPr>
            <w:r w:rsidRPr="00F97FFA">
              <w:rPr>
                <w:rFonts w:ascii="Arial" w:hAnsi="Arial" w:cs="Arial"/>
                <w:sz w:val="20"/>
                <w:szCs w:val="20"/>
                <w:lang w:val="en-US"/>
              </w:rPr>
              <w:t>Disputes related to challenging of non-regulatory acts, decisions and actions (failure to act) of state bodies, local authorities, other bodies and organizations vested with public authority;</w:t>
            </w:r>
          </w:p>
          <w:p w:rsidR="00884989" w:rsidRPr="00F97FFA" w:rsidRDefault="00884989" w:rsidP="007F3DF3">
            <w:pPr>
              <w:numPr>
                <w:ilvl w:val="0"/>
                <w:numId w:val="2"/>
              </w:numPr>
              <w:ind w:left="403"/>
              <w:jc w:val="both"/>
              <w:rPr>
                <w:rFonts w:ascii="Arial" w:hAnsi="Arial" w:cs="Arial"/>
                <w:sz w:val="20"/>
                <w:szCs w:val="20"/>
                <w:lang w:val="en-US"/>
              </w:rPr>
            </w:pPr>
            <w:r w:rsidRPr="00F97FFA">
              <w:rPr>
                <w:rFonts w:ascii="Arial" w:hAnsi="Arial" w:cs="Arial"/>
                <w:sz w:val="20"/>
                <w:szCs w:val="20"/>
                <w:lang w:val="en-US"/>
              </w:rPr>
              <w:t>All disputes listed in category “arbitrable” with the exception of disputes concerning ownership of stocks and shares, in case of strategic entities. All disputes arising from transactions with stocks and shares in such entities in case such transactions require prior authorization;</w:t>
            </w:r>
          </w:p>
          <w:p w:rsidR="00884989" w:rsidRPr="00F97FFA" w:rsidRDefault="00884989" w:rsidP="007F3DF3">
            <w:pPr>
              <w:numPr>
                <w:ilvl w:val="0"/>
                <w:numId w:val="2"/>
              </w:numPr>
              <w:ind w:left="403"/>
              <w:jc w:val="both"/>
              <w:rPr>
                <w:rFonts w:ascii="Arial" w:hAnsi="Arial" w:cs="Arial"/>
                <w:sz w:val="20"/>
                <w:szCs w:val="20"/>
                <w:lang w:val="en-US"/>
              </w:rPr>
            </w:pPr>
            <w:r w:rsidRPr="00F97FFA">
              <w:rPr>
                <w:rFonts w:ascii="Arial" w:hAnsi="Arial" w:cs="Arial"/>
                <w:sz w:val="20"/>
                <w:szCs w:val="20"/>
                <w:lang w:val="en-US"/>
              </w:rPr>
              <w:t>Disputes related to the application of Section IX (purchase and buy-back by an entity of outstanding shares) and Section XI.1 (acquisition of more than 30% of shares in a public company) of Federal Law of 26 December 1995 No. 208-FZ “On Joint Stock Companies”;</w:t>
            </w:r>
          </w:p>
          <w:p w:rsidR="00884989" w:rsidRPr="00F97FFA" w:rsidRDefault="00884989" w:rsidP="007F3DF3">
            <w:pPr>
              <w:numPr>
                <w:ilvl w:val="0"/>
                <w:numId w:val="2"/>
              </w:numPr>
              <w:ind w:left="403"/>
              <w:jc w:val="both"/>
              <w:rPr>
                <w:rFonts w:ascii="Arial" w:hAnsi="Arial" w:cs="Arial"/>
                <w:sz w:val="20"/>
                <w:szCs w:val="20"/>
                <w:lang w:val="en-US"/>
              </w:rPr>
            </w:pPr>
            <w:r w:rsidRPr="00F97FFA">
              <w:rPr>
                <w:rFonts w:ascii="Arial" w:hAnsi="Arial" w:cs="Arial"/>
                <w:sz w:val="20"/>
                <w:szCs w:val="20"/>
                <w:lang w:val="en-US"/>
              </w:rPr>
              <w:t>Disputes related to the expulsion of participants of a legal entity.</w:t>
            </w:r>
          </w:p>
        </w:tc>
      </w:tr>
    </w:tbl>
    <w:p w:rsidR="00387FDC" w:rsidRPr="00884989" w:rsidRDefault="00387FDC">
      <w:pPr>
        <w:rPr>
          <w:lang w:val="en-US"/>
        </w:rPr>
      </w:pPr>
    </w:p>
    <w:sectPr w:rsidR="00387FDC" w:rsidRPr="008849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E4" w:rsidRDefault="00176DE4" w:rsidP="00DA3862">
      <w:r>
        <w:separator/>
      </w:r>
    </w:p>
  </w:endnote>
  <w:endnote w:type="continuationSeparator" w:id="0">
    <w:p w:rsidR="00176DE4" w:rsidRDefault="00176DE4" w:rsidP="00D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E4" w:rsidRDefault="00176DE4" w:rsidP="00DA3862">
      <w:r>
        <w:separator/>
      </w:r>
    </w:p>
  </w:footnote>
  <w:footnote w:type="continuationSeparator" w:id="0">
    <w:p w:rsidR="00176DE4" w:rsidRDefault="00176DE4" w:rsidP="00DA3862">
      <w:r>
        <w:continuationSeparator/>
      </w:r>
    </w:p>
  </w:footnote>
  <w:footnote w:id="1">
    <w:p w:rsidR="005B6EFC" w:rsidRPr="008114C2" w:rsidRDefault="005B6EFC" w:rsidP="005B6EFC">
      <w:pPr>
        <w:pStyle w:val="a3"/>
        <w:jc w:val="both"/>
        <w:rPr>
          <w:rFonts w:ascii="Arial" w:hAnsi="Arial" w:cs="Arial"/>
          <w:lang w:val="en-US"/>
        </w:rPr>
      </w:pPr>
      <w:r w:rsidRPr="008114C2">
        <w:rPr>
          <w:rStyle w:val="a5"/>
          <w:rFonts w:ascii="Arial" w:hAnsi="Arial" w:cs="Arial"/>
        </w:rPr>
        <w:footnoteRef/>
      </w:r>
      <w:r w:rsidRPr="008114C2">
        <w:rPr>
          <w:rFonts w:ascii="Arial" w:hAnsi="Arial" w:cs="Arial"/>
          <w:lang w:val="en-US"/>
        </w:rPr>
        <w:t xml:space="preserve"> Disputes</w:t>
      </w:r>
      <w:r>
        <w:rPr>
          <w:rFonts w:ascii="Arial" w:hAnsi="Arial" w:cs="Arial"/>
          <w:lang w:val="en-US"/>
        </w:rPr>
        <w:t xml:space="preserve"> indicated in this paragraph do not have to be resolved through special </w:t>
      </w:r>
      <w:r w:rsidRPr="008114C2">
        <w:rPr>
          <w:rFonts w:ascii="Arial" w:hAnsi="Arial" w:cs="Arial"/>
          <w:lang w:val="en-US"/>
        </w:rPr>
        <w:t xml:space="preserve">rules for </w:t>
      </w:r>
      <w:r>
        <w:rPr>
          <w:rFonts w:ascii="Arial" w:hAnsi="Arial" w:cs="Arial"/>
          <w:lang w:val="en-US"/>
        </w:rPr>
        <w:t>a</w:t>
      </w:r>
      <w:r w:rsidRPr="008114C2">
        <w:rPr>
          <w:rFonts w:ascii="Arial" w:hAnsi="Arial" w:cs="Arial"/>
          <w:lang w:val="en-US"/>
        </w:rPr>
        <w:t>rbitration</w:t>
      </w:r>
      <w:r>
        <w:rPr>
          <w:rFonts w:ascii="Arial" w:hAnsi="Arial" w:cs="Arial"/>
          <w:lang w:val="en-US"/>
        </w:rPr>
        <w:t xml:space="preserve"> of</w:t>
      </w:r>
      <w:r w:rsidRPr="008114C2">
        <w:rPr>
          <w:rFonts w:ascii="Arial" w:hAnsi="Arial" w:cs="Arial"/>
          <w:lang w:val="en-US"/>
        </w:rPr>
        <w:t xml:space="preserve"> corporate disputes</w:t>
      </w:r>
      <w:r>
        <w:rPr>
          <w:rFonts w:ascii="Arial" w:hAnsi="Arial" w:cs="Arial"/>
          <w:lang w:val="en-US"/>
        </w:rPr>
        <w:t>. They can be resolved using ordinary rules administered by a licensed arbitral institution.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67"/>
    <w:multiLevelType w:val="hybridMultilevel"/>
    <w:tmpl w:val="3766C742"/>
    <w:lvl w:ilvl="0" w:tplc="DF647998">
      <w:start w:val="1"/>
      <w:numFmt w:val="decimal"/>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9354E4"/>
    <w:multiLevelType w:val="hybridMultilevel"/>
    <w:tmpl w:val="99FE3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89"/>
    <w:rsid w:val="00176DE4"/>
    <w:rsid w:val="00387FDC"/>
    <w:rsid w:val="003F05D3"/>
    <w:rsid w:val="005B6EFC"/>
    <w:rsid w:val="00884989"/>
    <w:rsid w:val="00DA3862"/>
    <w:rsid w:val="00E6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A3862"/>
    <w:rPr>
      <w:sz w:val="20"/>
      <w:szCs w:val="20"/>
    </w:rPr>
  </w:style>
  <w:style w:type="character" w:customStyle="1" w:styleId="a4">
    <w:name w:val="Текст сноски Знак"/>
    <w:basedOn w:val="a0"/>
    <w:link w:val="a3"/>
    <w:rsid w:val="00DA3862"/>
    <w:rPr>
      <w:rFonts w:ascii="Times New Roman" w:eastAsia="Times New Roman" w:hAnsi="Times New Roman" w:cs="Times New Roman"/>
      <w:sz w:val="20"/>
      <w:szCs w:val="20"/>
      <w:lang w:eastAsia="ru-RU"/>
    </w:rPr>
  </w:style>
  <w:style w:type="character" w:styleId="a5">
    <w:name w:val="footnote reference"/>
    <w:rsid w:val="00DA38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A3862"/>
    <w:rPr>
      <w:sz w:val="20"/>
      <w:szCs w:val="20"/>
    </w:rPr>
  </w:style>
  <w:style w:type="character" w:customStyle="1" w:styleId="a4">
    <w:name w:val="Текст сноски Знак"/>
    <w:basedOn w:val="a0"/>
    <w:link w:val="a3"/>
    <w:rsid w:val="00DA3862"/>
    <w:rPr>
      <w:rFonts w:ascii="Times New Roman" w:eastAsia="Times New Roman" w:hAnsi="Times New Roman" w:cs="Times New Roman"/>
      <w:sz w:val="20"/>
      <w:szCs w:val="20"/>
      <w:lang w:eastAsia="ru-RU"/>
    </w:rPr>
  </w:style>
  <w:style w:type="character" w:styleId="a5">
    <w:name w:val="footnote reference"/>
    <w:rsid w:val="00DA3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Davydenko</dc:creator>
  <cp:lastModifiedBy>Dmitry Davydenko</cp:lastModifiedBy>
  <cp:revision>6</cp:revision>
  <dcterms:created xsi:type="dcterms:W3CDTF">2016-01-15T07:44:00Z</dcterms:created>
  <dcterms:modified xsi:type="dcterms:W3CDTF">2016-01-15T07:51:00Z</dcterms:modified>
</cp:coreProperties>
</file>